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30" w:rsidRPr="00A71FA8" w:rsidRDefault="00A71FA8">
      <w:pPr>
        <w:rPr>
          <w:b/>
          <w:sz w:val="24"/>
          <w:szCs w:val="24"/>
          <w:lang w:val="bg-BG"/>
        </w:rPr>
      </w:pPr>
      <w:bookmarkStart w:id="0" w:name="_GoBack"/>
      <w:bookmarkEnd w:id="0"/>
      <w:r w:rsidRPr="00A71FA8">
        <w:rPr>
          <w:b/>
          <w:sz w:val="24"/>
          <w:szCs w:val="24"/>
          <w:lang w:val="bg-BG"/>
        </w:rPr>
        <w:t>На вниманието на титулярите на разрешения за предоставяне на общо обезпечение за режим съюзен транзит/общ транзитен режим</w:t>
      </w:r>
    </w:p>
    <w:p w:rsidR="00A71FA8" w:rsidRPr="00A71FA8" w:rsidRDefault="00A71FA8">
      <w:pPr>
        <w:rPr>
          <w:b/>
          <w:sz w:val="24"/>
          <w:szCs w:val="24"/>
          <w:lang w:val="bg-BG"/>
        </w:rPr>
      </w:pPr>
    </w:p>
    <w:p w:rsidR="00A71FA8" w:rsidRPr="00A71FA8" w:rsidRDefault="00A71FA8">
      <w:pPr>
        <w:rPr>
          <w:b/>
          <w:sz w:val="24"/>
          <w:szCs w:val="24"/>
          <w:lang w:val="bg-BG"/>
        </w:rPr>
      </w:pPr>
      <w:r w:rsidRPr="00A71FA8">
        <w:rPr>
          <w:b/>
          <w:sz w:val="24"/>
          <w:szCs w:val="24"/>
          <w:lang w:val="bg-BG"/>
        </w:rPr>
        <w:t>На вниманието на поръчители по поръчителство-общо обезпечение за режим съюзен транзит/общ транзитен режим</w:t>
      </w:r>
    </w:p>
    <w:p w:rsidR="00110AD8" w:rsidRPr="00A71FA8" w:rsidRDefault="00110AD8">
      <w:pPr>
        <w:rPr>
          <w:sz w:val="24"/>
          <w:szCs w:val="24"/>
        </w:rPr>
      </w:pPr>
    </w:p>
    <w:p w:rsidR="00110AD8" w:rsidRPr="00A71FA8" w:rsidRDefault="00110AD8" w:rsidP="00110AD8">
      <w:pPr>
        <w:ind w:firstLine="720"/>
        <w:jc w:val="both"/>
        <w:rPr>
          <w:sz w:val="24"/>
          <w:szCs w:val="24"/>
          <w:shd w:val="clear" w:color="auto" w:fill="FFFFFF"/>
          <w:lang w:val="bg-BG"/>
        </w:rPr>
      </w:pPr>
      <w:r w:rsidRPr="00A71FA8">
        <w:rPr>
          <w:sz w:val="24"/>
          <w:szCs w:val="24"/>
          <w:lang w:val="bg-BG"/>
        </w:rPr>
        <w:t xml:space="preserve">Във връзка с оттеглянето на </w:t>
      </w:r>
      <w:r w:rsidRPr="00A71FA8">
        <w:rPr>
          <w:color w:val="000000"/>
          <w:sz w:val="24"/>
          <w:szCs w:val="24"/>
          <w:lang w:val="bg-BG"/>
        </w:rPr>
        <w:t xml:space="preserve">Обединеното кралство </w:t>
      </w:r>
      <w:r w:rsidRPr="00A71FA8">
        <w:rPr>
          <w:sz w:val="24"/>
          <w:szCs w:val="24"/>
          <w:lang w:val="bg-BG"/>
        </w:rPr>
        <w:t>от Европейския съюз и от Европейската общност за атомна енергия на 1 февруари 2020 г., по силата на членове 126 и 127 от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(Споразумението за оттегляне) правото на Съюза е приложимо спрямо и в Обединеното кралство за преходен период, който изтича на 31 декември 2020 г.</w:t>
      </w:r>
      <w:r w:rsidRPr="00A71FA8">
        <w:rPr>
          <w:sz w:val="24"/>
          <w:szCs w:val="24"/>
          <w:shd w:val="clear" w:color="auto" w:fill="FFFFFF"/>
          <w:lang w:val="bg-BG"/>
        </w:rPr>
        <w:t xml:space="preserve"> След края на преходния период</w:t>
      </w:r>
      <w:r w:rsidRPr="00A71FA8">
        <w:rPr>
          <w:sz w:val="24"/>
          <w:szCs w:val="24"/>
          <w:lang w:val="bg-BG"/>
        </w:rPr>
        <w:t xml:space="preserve"> Регламент (ЕС) № 952/2013 </w:t>
      </w:r>
      <w:r w:rsidRPr="00A71FA8">
        <w:rPr>
          <w:sz w:val="24"/>
          <w:szCs w:val="24"/>
          <w:shd w:val="clear" w:color="auto" w:fill="FFFFFF"/>
          <w:lang w:val="bg-BG"/>
        </w:rPr>
        <w:t>спира да се прилага спрямо и в Обединеното кралство, с изключение на Северна Ирландия.</w:t>
      </w:r>
    </w:p>
    <w:p w:rsidR="00110AD8" w:rsidRPr="0097215B" w:rsidRDefault="00110AD8" w:rsidP="00110AD8">
      <w:pPr>
        <w:ind w:firstLine="720"/>
        <w:jc w:val="both"/>
        <w:rPr>
          <w:sz w:val="24"/>
          <w:szCs w:val="24"/>
          <w:shd w:val="clear" w:color="auto" w:fill="FFFFFF"/>
          <w:lang w:val="bg-BG"/>
        </w:rPr>
      </w:pPr>
      <w:r w:rsidRPr="00A71FA8">
        <w:rPr>
          <w:sz w:val="24"/>
          <w:szCs w:val="24"/>
          <w:shd w:val="clear" w:color="auto" w:fill="FFFFFF"/>
          <w:lang w:val="bg-BG"/>
        </w:rPr>
        <w:t>В тази връзка титулярите на разрешения за използване на общо обезпечение за режим</w:t>
      </w:r>
      <w:r w:rsidRPr="0097215B">
        <w:rPr>
          <w:sz w:val="24"/>
          <w:szCs w:val="24"/>
          <w:shd w:val="clear" w:color="auto" w:fill="FFFFFF"/>
          <w:lang w:val="bg-BG"/>
        </w:rPr>
        <w:t xml:space="preserve"> транзит и поръчителите по издадените поръчителства следва да имат предвид, че формулярите за поръчителство, определени в приложения 32-01, 32-02 и 32-03, както и </w:t>
      </w:r>
      <w:r>
        <w:rPr>
          <w:sz w:val="24"/>
          <w:szCs w:val="24"/>
          <w:shd w:val="clear" w:color="auto" w:fill="FFFFFF"/>
          <w:lang w:val="bg-BG"/>
        </w:rPr>
        <w:t xml:space="preserve">сертификатите за общо обезпечение, предвидени </w:t>
      </w:r>
      <w:r w:rsidRPr="0097215B">
        <w:rPr>
          <w:sz w:val="24"/>
          <w:szCs w:val="24"/>
          <w:shd w:val="clear" w:color="auto" w:fill="FFFFFF"/>
          <w:lang w:val="bg-BG"/>
        </w:rPr>
        <w:t>в глави VI и VII от приложение 72-04 към Регламент за изпълнение (ЕС) 2015/2447</w:t>
      </w:r>
      <w:r>
        <w:rPr>
          <w:sz w:val="24"/>
          <w:szCs w:val="24"/>
          <w:shd w:val="clear" w:color="auto" w:fill="FFFFFF"/>
          <w:lang w:val="bg-BG"/>
        </w:rPr>
        <w:t xml:space="preserve">, </w:t>
      </w:r>
      <w:r w:rsidRPr="0097215B">
        <w:rPr>
          <w:sz w:val="24"/>
          <w:szCs w:val="24"/>
          <w:shd w:val="clear" w:color="auto" w:fill="FFFFFF"/>
          <w:lang w:val="bg-BG"/>
        </w:rPr>
        <w:t xml:space="preserve">се изменят. В тези формуляри са изброени държавите членки на Европейския съюз, и другите договарящи страни по Конвенцията за общ транзитен режим (КОТ), изменена с Решение № 1/2019 на Съвместния комитет ЕС-ДОТР за общ транзитен режим. </w:t>
      </w:r>
      <w:r>
        <w:rPr>
          <w:sz w:val="24"/>
          <w:szCs w:val="24"/>
          <w:shd w:val="clear" w:color="auto" w:fill="FFFFFF"/>
          <w:lang w:val="bg-BG"/>
        </w:rPr>
        <w:t xml:space="preserve">Съгласно проекта на регламент за изменение на </w:t>
      </w:r>
      <w:r w:rsidRPr="0097215B">
        <w:rPr>
          <w:sz w:val="24"/>
          <w:szCs w:val="24"/>
          <w:shd w:val="clear" w:color="auto" w:fill="FFFFFF"/>
          <w:lang w:val="bg-BG"/>
        </w:rPr>
        <w:t>Регламент за изпълнение (ЕС) 2015/2447</w:t>
      </w:r>
      <w:r>
        <w:rPr>
          <w:sz w:val="24"/>
          <w:szCs w:val="24"/>
          <w:shd w:val="clear" w:color="auto" w:fill="FFFFFF"/>
          <w:lang w:val="bg-BG"/>
        </w:rPr>
        <w:t>, който се очаква да бъде публикуван в най-кратки срокове, к</w:t>
      </w:r>
      <w:r w:rsidRPr="0097215B">
        <w:rPr>
          <w:sz w:val="24"/>
          <w:szCs w:val="24"/>
          <w:shd w:val="clear" w:color="auto" w:fill="FFFFFF"/>
          <w:lang w:val="bg-BG"/>
        </w:rPr>
        <w:t>огато</w:t>
      </w:r>
      <w:r w:rsidRPr="0097215B">
        <w:rPr>
          <w:sz w:val="24"/>
          <w:szCs w:val="24"/>
          <w:lang w:val="bg-BG"/>
        </w:rPr>
        <w:t xml:space="preserve"> Регламент (ЕС) № 952/2013 </w:t>
      </w:r>
      <w:r w:rsidRPr="0097215B">
        <w:rPr>
          <w:sz w:val="24"/>
          <w:szCs w:val="24"/>
          <w:shd w:val="clear" w:color="auto" w:fill="FFFFFF"/>
          <w:lang w:val="bg-BG"/>
        </w:rPr>
        <w:t xml:space="preserve">спре да се прилага спрямо и в Обединеното кралство, с изключение на Северна Ирландия, Обединеното кралство не следва повече да фигурира сред държавите членки, включени в тези формуляри. Обединеното кралство обаче беше поканено и депозира своя инструмент за присъединяване към Конвенцията като отделна договаряща страна, считано от края на преходния период. Когато Обединеното кралство се присъедини към КОТ, то следва да бъде включено във формулярите за поръчителство наред с другите договарящи страни по КОТ. Освен това, вследствие на прилагането на Протокола за Ирландия/Северна Ирландия, за операциите по съюзен транзит Северна Ирландия следва да бъде включена в списъка по начин, който показва, че всяко обезпечение, което е валидно в държавите членки, трябва да бъде валидно и в Северна Ирландия. </w:t>
      </w:r>
    </w:p>
    <w:p w:rsidR="00110AD8" w:rsidRPr="0097215B" w:rsidRDefault="00110AD8" w:rsidP="00110AD8">
      <w:pPr>
        <w:ind w:firstLine="720"/>
        <w:jc w:val="both"/>
        <w:rPr>
          <w:sz w:val="24"/>
          <w:szCs w:val="24"/>
          <w:lang w:val="bg-BG"/>
        </w:rPr>
      </w:pPr>
      <w:r w:rsidRPr="0097215B">
        <w:rPr>
          <w:sz w:val="24"/>
          <w:szCs w:val="24"/>
          <w:lang w:val="bg-BG"/>
        </w:rPr>
        <w:t xml:space="preserve">Като последица от прилагането на Протокола за Ирландия/Северна Ирландия, за операции по съюзен транзит на Съюза Северна Ирландия следва да бъде изброена по начин, който показва, че всяко обезпечение, което е валидно в държавите членки на ЕС, трябва да бъде валидно и в Северна Ирландия. В тази връзка </w:t>
      </w:r>
      <w:r>
        <w:rPr>
          <w:sz w:val="24"/>
          <w:szCs w:val="24"/>
          <w:lang w:val="bg-BG"/>
        </w:rPr>
        <w:t xml:space="preserve">в образеца по поръчителство по </w:t>
      </w:r>
      <w:r w:rsidRPr="0097215B">
        <w:rPr>
          <w:sz w:val="24"/>
          <w:szCs w:val="24"/>
          <w:shd w:val="clear" w:color="auto" w:fill="FFFFFF"/>
          <w:lang w:val="bg-BG"/>
        </w:rPr>
        <w:t>приложени</w:t>
      </w:r>
      <w:r>
        <w:rPr>
          <w:sz w:val="24"/>
          <w:szCs w:val="24"/>
          <w:shd w:val="clear" w:color="auto" w:fill="FFFFFF"/>
          <w:lang w:val="bg-BG"/>
        </w:rPr>
        <w:t xml:space="preserve">е </w:t>
      </w:r>
      <w:r w:rsidRPr="0097215B">
        <w:rPr>
          <w:sz w:val="24"/>
          <w:szCs w:val="24"/>
          <w:shd w:val="clear" w:color="auto" w:fill="FFFFFF"/>
          <w:lang w:val="bg-BG"/>
        </w:rPr>
        <w:t>32-0</w:t>
      </w:r>
      <w:r>
        <w:rPr>
          <w:sz w:val="24"/>
          <w:szCs w:val="24"/>
          <w:shd w:val="clear" w:color="auto" w:fill="FFFFFF"/>
          <w:lang w:val="bg-BG"/>
        </w:rPr>
        <w:t xml:space="preserve">3 към </w:t>
      </w:r>
      <w:r w:rsidRPr="0097215B">
        <w:rPr>
          <w:sz w:val="24"/>
          <w:szCs w:val="24"/>
          <w:shd w:val="clear" w:color="auto" w:fill="FFFFFF"/>
          <w:lang w:val="bg-BG"/>
        </w:rPr>
        <w:t>Регламент за изпълнение (ЕС) 2015/2447</w:t>
      </w:r>
      <w:r>
        <w:rPr>
          <w:sz w:val="24"/>
          <w:szCs w:val="24"/>
          <w:shd w:val="clear" w:color="auto" w:fill="FFFFFF"/>
          <w:lang w:val="bg-BG"/>
        </w:rPr>
        <w:t xml:space="preserve"> </w:t>
      </w:r>
      <w:r w:rsidRPr="0097215B">
        <w:rPr>
          <w:sz w:val="24"/>
          <w:szCs w:val="24"/>
          <w:lang w:val="bg-BG"/>
        </w:rPr>
        <w:t>се въвежда следната обяснителна бележка под черта:</w:t>
      </w:r>
    </w:p>
    <w:p w:rsidR="00110AD8" w:rsidRPr="00A95C41" w:rsidRDefault="00110AD8" w:rsidP="00110AD8">
      <w:pPr>
        <w:ind w:firstLine="720"/>
        <w:jc w:val="both"/>
        <w:rPr>
          <w:sz w:val="24"/>
          <w:szCs w:val="24"/>
          <w:shd w:val="clear" w:color="auto" w:fill="FFFFFF"/>
          <w:lang w:val="bg-BG"/>
        </w:rPr>
      </w:pPr>
      <w:r w:rsidRPr="0097215B">
        <w:rPr>
          <w:sz w:val="24"/>
          <w:szCs w:val="24"/>
          <w:lang w:val="bg-BG"/>
        </w:rPr>
        <w:t xml:space="preserve">  *</w:t>
      </w:r>
      <w:r w:rsidRPr="0097215B">
        <w:rPr>
          <w:i/>
          <w:sz w:val="24"/>
          <w:szCs w:val="24"/>
          <w:lang w:val="bg-BG"/>
        </w:rPr>
        <w:t xml:space="preserve">По силата на Протокола за Ирландия/Северна Ирландия към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за целите на настоящото обезпечение Северна Ирландия трябва да се счита за част от Европейския съюз. Поради това поръчителят, установен на митническата територия на Европейския съюз, посочва адрес за кореспонденция или определя представител в Северна Ирландия, ако обезпечението може да бъде използвано там. Ако обаче в контекста на общия транзитен режим дадено обезпечение е валидно в Европейския съюз и в Обединеното кралство, само </w:t>
      </w:r>
      <w:r w:rsidRPr="0097215B">
        <w:rPr>
          <w:i/>
          <w:sz w:val="24"/>
          <w:szCs w:val="24"/>
          <w:lang w:val="bg-BG"/>
        </w:rPr>
        <w:lastRenderedPageBreak/>
        <w:t>един адрес за кореспонденция или един определен представител в Обединеното кралство може да обхваща всички части на Обединеното кралство, включително Северна Ирландия</w:t>
      </w:r>
      <w:r w:rsidRPr="00A95C41">
        <w:rPr>
          <w:sz w:val="24"/>
          <w:szCs w:val="24"/>
          <w:lang w:val="bg-BG"/>
        </w:rPr>
        <w:t>.“.</w:t>
      </w:r>
    </w:p>
    <w:p w:rsidR="00110AD8" w:rsidRPr="0097215B" w:rsidRDefault="00110AD8" w:rsidP="00110AD8">
      <w:pPr>
        <w:ind w:firstLine="720"/>
        <w:jc w:val="both"/>
        <w:rPr>
          <w:sz w:val="24"/>
          <w:szCs w:val="24"/>
          <w:shd w:val="clear" w:color="auto" w:fill="FFFFFF"/>
          <w:lang w:val="bg-BG"/>
        </w:rPr>
      </w:pPr>
      <w:r w:rsidRPr="0097215B">
        <w:rPr>
          <w:sz w:val="24"/>
          <w:szCs w:val="24"/>
          <w:lang w:val="bg-BG"/>
        </w:rPr>
        <w:t xml:space="preserve">Това означава, че поръчителите, установени в ЕС, трябва да имат адрес </w:t>
      </w:r>
      <w:r>
        <w:rPr>
          <w:sz w:val="24"/>
          <w:szCs w:val="24"/>
          <w:lang w:val="bg-BG"/>
        </w:rPr>
        <w:t xml:space="preserve">за кореспонденция </w:t>
      </w:r>
      <w:r w:rsidRPr="0097215B">
        <w:rPr>
          <w:sz w:val="24"/>
          <w:szCs w:val="24"/>
          <w:lang w:val="bg-BG"/>
        </w:rPr>
        <w:t xml:space="preserve">в Северна Ирландия в съответствие с изискванията на Митническия кодекс на Съюза. </w:t>
      </w:r>
      <w:r>
        <w:rPr>
          <w:sz w:val="24"/>
          <w:szCs w:val="24"/>
          <w:lang w:val="bg-BG"/>
        </w:rPr>
        <w:t xml:space="preserve">Когато </w:t>
      </w:r>
      <w:r w:rsidRPr="0097215B">
        <w:rPr>
          <w:sz w:val="24"/>
          <w:szCs w:val="24"/>
          <w:lang w:val="bg-BG"/>
        </w:rPr>
        <w:t>поръчителите, установени в ЕС, удължат валидността на обезпечението за ОК за целите на режим общ транзит, те не се нуждаят от втори адрес в ОК. Адресът в Северна Ирландия може да покрива ОК.</w:t>
      </w:r>
      <w:r w:rsidRPr="0097215B">
        <w:rPr>
          <w:sz w:val="24"/>
          <w:szCs w:val="24"/>
          <w:shd w:val="clear" w:color="auto" w:fill="FFFFFF"/>
          <w:lang w:val="bg-BG"/>
        </w:rPr>
        <w:t xml:space="preserve"> </w:t>
      </w:r>
    </w:p>
    <w:p w:rsidR="00110AD8" w:rsidRPr="0097215B" w:rsidRDefault="00110AD8" w:rsidP="00110AD8">
      <w:pPr>
        <w:ind w:firstLine="720"/>
        <w:jc w:val="both"/>
        <w:rPr>
          <w:sz w:val="24"/>
          <w:szCs w:val="24"/>
          <w:lang w:val="bg-BG"/>
        </w:rPr>
      </w:pPr>
      <w:r w:rsidRPr="0097215B">
        <w:rPr>
          <w:sz w:val="24"/>
          <w:szCs w:val="24"/>
          <w:lang w:val="bg-BG"/>
        </w:rPr>
        <w:t>По този начин Решение № 2/2018, публикувано в Официален вестник на ЕС</w:t>
      </w:r>
      <w:hyperlink r:id="rId4" w:history="1">
        <w:r w:rsidRPr="0097215B">
          <w:rPr>
            <w:color w:val="0000FF"/>
            <w:sz w:val="24"/>
            <w:szCs w:val="24"/>
            <w:u w:val="single"/>
            <w:lang w:val="bg-BG" w:eastAsia="en-US"/>
          </w:rPr>
          <w:t>, серия L 317, 14.12.2018</w:t>
        </w:r>
      </w:hyperlink>
      <w:r w:rsidRPr="0097215B">
        <w:rPr>
          <w:sz w:val="24"/>
          <w:szCs w:val="24"/>
          <w:lang w:val="bg-BG" w:eastAsia="en-US"/>
        </w:rPr>
        <w:t>,</w:t>
      </w:r>
      <w:r w:rsidRPr="0097215B">
        <w:rPr>
          <w:sz w:val="24"/>
          <w:szCs w:val="24"/>
          <w:lang w:val="bg-BG"/>
        </w:rPr>
        <w:t xml:space="preserve"> ще влезе в сила на 1 януари 2021 г., последвано от Решение № 1/2021, което ще влезе в сила със задна дата на 1 януари 2021 г., след като бъде прието в началото на 2021</w:t>
      </w:r>
      <w:r w:rsidR="00D51DC9">
        <w:rPr>
          <w:sz w:val="24"/>
          <w:szCs w:val="24"/>
          <w:lang w:val="en-US"/>
        </w:rPr>
        <w:t> </w:t>
      </w:r>
      <w:r w:rsidRPr="0097215B">
        <w:rPr>
          <w:sz w:val="24"/>
          <w:szCs w:val="24"/>
          <w:lang w:val="bg-BG"/>
        </w:rPr>
        <w:t>г.</w:t>
      </w:r>
    </w:p>
    <w:p w:rsidR="00110AD8" w:rsidRPr="0097215B" w:rsidRDefault="00110AD8" w:rsidP="00110AD8">
      <w:pPr>
        <w:ind w:firstLine="720"/>
        <w:jc w:val="both"/>
        <w:rPr>
          <w:sz w:val="24"/>
          <w:szCs w:val="24"/>
          <w:lang w:val="bg-BG"/>
        </w:rPr>
      </w:pPr>
      <w:r w:rsidRPr="0097215B">
        <w:rPr>
          <w:sz w:val="24"/>
          <w:szCs w:val="24"/>
          <w:lang w:val="bg-BG"/>
        </w:rPr>
        <w:t xml:space="preserve">Също така следва де се има предвид, че Решение № 1/2019 влязло в сила на 04.12.2019 г, публикувано в Официален вестник на ЕС, </w:t>
      </w:r>
      <w:hyperlink r:id="rId5" w:history="1">
        <w:r w:rsidRPr="0097215B">
          <w:rPr>
            <w:color w:val="0000FF"/>
            <w:sz w:val="24"/>
            <w:szCs w:val="24"/>
            <w:u w:val="single"/>
            <w:lang w:val="bg-BG" w:eastAsia="en-US"/>
          </w:rPr>
          <w:t>серия L 103, 3.4.2020</w:t>
        </w:r>
      </w:hyperlink>
      <w:r w:rsidRPr="0097215B">
        <w:rPr>
          <w:color w:val="0000FF"/>
          <w:sz w:val="24"/>
          <w:szCs w:val="24"/>
          <w:u w:val="single"/>
          <w:lang w:val="bg-BG" w:eastAsia="en-US"/>
        </w:rPr>
        <w:t>,</w:t>
      </w:r>
      <w:r w:rsidRPr="0097215B">
        <w:rPr>
          <w:sz w:val="24"/>
          <w:szCs w:val="24"/>
          <w:lang w:val="bg-BG"/>
        </w:rPr>
        <w:t xml:space="preserve"> след това Решение № 2/2018 ще влезе в сила на 1 януари 2021 г., като в резултат на това Решение № 2/2018 се заменя текста „бивша Югославска република Македония“ с новото име „Република Северна Македония“ в поръчителството за общо обезпечение, въведено с Решение № 1/2019. Решение № 1/2021 незабавно ще коригира това неправилно име със задна дата.</w:t>
      </w:r>
    </w:p>
    <w:p w:rsidR="00110AD8" w:rsidRPr="0097215B" w:rsidRDefault="00110AD8" w:rsidP="00110AD8">
      <w:pPr>
        <w:ind w:firstLine="720"/>
        <w:jc w:val="both"/>
        <w:rPr>
          <w:sz w:val="24"/>
          <w:szCs w:val="24"/>
          <w:lang w:val="bg-BG"/>
        </w:rPr>
      </w:pPr>
      <w:r w:rsidRPr="00F64770">
        <w:rPr>
          <w:sz w:val="24"/>
          <w:szCs w:val="24"/>
          <w:lang w:val="bg-BG"/>
        </w:rPr>
        <w:t>Във връзка с гореизложеното, следва да предоставите</w:t>
      </w:r>
      <w:r>
        <w:rPr>
          <w:sz w:val="24"/>
          <w:szCs w:val="24"/>
          <w:lang w:val="bg-BG"/>
        </w:rPr>
        <w:t xml:space="preserve">, по възможност най-късно в срок до 23.12.2020 г., </w:t>
      </w:r>
      <w:r w:rsidRPr="00F64770">
        <w:rPr>
          <w:sz w:val="24"/>
          <w:szCs w:val="24"/>
          <w:lang w:val="bg-BG"/>
        </w:rPr>
        <w:t xml:space="preserve">Анекс към поръчителството за общо обезпечение в митническото учреждение по обезпечението </w:t>
      </w:r>
      <w:r w:rsidRPr="00F64770">
        <w:rPr>
          <w:sz w:val="24"/>
          <w:szCs w:val="24"/>
          <w:lang w:val="en-US"/>
        </w:rPr>
        <w:t>(</w:t>
      </w:r>
      <w:r w:rsidRPr="00F64770">
        <w:rPr>
          <w:sz w:val="24"/>
          <w:szCs w:val="24"/>
          <w:lang w:val="bg-BG"/>
        </w:rPr>
        <w:t>ЦМУ на АМ</w:t>
      </w:r>
      <w:r w:rsidRPr="00F64770">
        <w:rPr>
          <w:sz w:val="24"/>
          <w:szCs w:val="24"/>
          <w:lang w:val="en-US"/>
        </w:rPr>
        <w:t>)</w:t>
      </w:r>
      <w:r w:rsidRPr="00F64770">
        <w:rPr>
          <w:sz w:val="24"/>
          <w:szCs w:val="24"/>
          <w:lang w:val="bg-BG"/>
        </w:rPr>
        <w:t>, който да бъде приет и да се използва от 01.01.2021</w:t>
      </w:r>
      <w:r w:rsidR="00D51DC9">
        <w:rPr>
          <w:sz w:val="24"/>
          <w:szCs w:val="24"/>
          <w:lang w:val="en-US"/>
        </w:rPr>
        <w:t> </w:t>
      </w:r>
      <w:r w:rsidRPr="00F64770">
        <w:rPr>
          <w:sz w:val="24"/>
          <w:szCs w:val="24"/>
          <w:lang w:val="bg-BG"/>
        </w:rPr>
        <w:t>г. За улеснение при подготвянето на анекси към приетите поръчителства за режим транзит, на интернет страницата на Агенция „Митници“ е публикуван примерен образец.</w:t>
      </w:r>
    </w:p>
    <w:p w:rsidR="00110AD8" w:rsidRPr="00110AD8" w:rsidRDefault="00110AD8">
      <w:pPr>
        <w:rPr>
          <w:lang w:val="en-US"/>
        </w:rPr>
      </w:pPr>
    </w:p>
    <w:sectPr w:rsidR="00110AD8" w:rsidRPr="00110AD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D8"/>
    <w:rsid w:val="00110AD8"/>
    <w:rsid w:val="003A1B30"/>
    <w:rsid w:val="00A71FA8"/>
    <w:rsid w:val="00D51DC9"/>
    <w:rsid w:val="00D6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5E9C2-1440-4AEA-BA87-3072157A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AD8"/>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lex.europa.eu/legal-content/EN/TXT/?uri=OJ%3AL%3A2020%3A103I%3AFULL" TargetMode="External"/><Relationship Id="rId4" Type="http://schemas.openxmlformats.org/officeDocument/2006/relationships/hyperlink" Target="https://eur-lex.europa.eu/legal-content/EN/TXT/?uri=OJ%3AL%3A2018%3A317%3A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Windows User</cp:lastModifiedBy>
  <cp:revision>2</cp:revision>
  <dcterms:created xsi:type="dcterms:W3CDTF">2020-12-10T09:35:00Z</dcterms:created>
  <dcterms:modified xsi:type="dcterms:W3CDTF">2020-12-10T09:35:00Z</dcterms:modified>
</cp:coreProperties>
</file>